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Министерство образования Архангельской области</w:t>
      </w:r>
    </w:p>
    <w:p>
      <w:pPr>
        <w:pStyle w:val="Normal"/>
        <w:spacing w:lineRule="auto" w:line="276"/>
        <w:jc w:val="center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Государственное бюджетное профессиональное образовательное учреждение </w:t>
        <w:br/>
        <w:t>Архангельской области «Каргопольский педагогический колледж»</w:t>
      </w:r>
    </w:p>
    <w:p>
      <w:pPr>
        <w:pStyle w:val="Normal"/>
        <w:spacing w:lineRule="auto" w:line="276" w:before="0" w:after="2280"/>
        <w:jc w:val="center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(ГБПОУ АО «Каргопольский педколледж»)</w:t>
      </w:r>
    </w:p>
    <w:p>
      <w:pPr>
        <w:pStyle w:val="Normal"/>
        <w:spacing w:lineRule="auto" w:line="276"/>
        <w:ind w:firstLine="5812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УТВЕРЖ</w:t>
      </w:r>
    </w:p>
    <w:p>
      <w:pPr>
        <w:pStyle w:val="Normal"/>
        <w:spacing w:lineRule="auto" w:line="276"/>
        <w:ind w:firstLine="581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Заместитель директора по УВР</w:t>
      </w:r>
    </w:p>
    <w:p>
      <w:pPr>
        <w:pStyle w:val="Normal"/>
        <w:spacing w:lineRule="auto" w:line="276"/>
        <w:ind w:left="5812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_________  /А. Л. Тюкалов/</w:t>
        <w:br/>
        <w:t>«___» ____________ 20  .г.</w:t>
      </w:r>
    </w:p>
    <w:p>
      <w:pPr>
        <w:pStyle w:val="Normal"/>
        <w:spacing w:lineRule="auto" w:line="27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7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76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ind w:left="5103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uppressAutoHyphens w:val="false"/>
        <w:jc w:val="center"/>
        <w:rPr>
          <w:rFonts w:ascii="Times New Roman" w:hAnsi="Times New Roman" w:eastAsia="Times New Roman" w:cs="Times New Roman"/>
          <w:b/>
          <w:color w:val="18181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81818"/>
          <w:sz w:val="28"/>
          <w:szCs w:val="28"/>
          <w:lang w:eastAsia="ru-RU"/>
        </w:rPr>
        <w:t>РАБОЧАЯ ПРОГРАММА ПРОФЕССИОНАЛЬНОГО МОДУЛЯ</w:t>
      </w:r>
    </w:p>
    <w:p>
      <w:pPr>
        <w:pStyle w:val="Normal"/>
        <w:shd w:val="clear" w:color="auto" w:fill="FFFFFF"/>
        <w:suppressAutoHyphens w:val="false"/>
        <w:jc w:val="center"/>
        <w:rPr>
          <w:rFonts w:ascii="Times New Roman" w:hAnsi="Times New Roman" w:eastAsia="Times New Roman" w:cs="Times New Roman"/>
          <w:b/>
          <w:color w:val="18181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81818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b/>
          <w:color w:val="181818"/>
          <w:sz w:val="28"/>
          <w:szCs w:val="28"/>
          <w:lang w:eastAsia="ru-RU"/>
        </w:rPr>
        <w:t>ПМ.01 ПРЕПОДАВАНИЕ ПО ПРОГРАММАМ НАЧАЛЬНОГО ОБЩЕГО ОБРАЗОВАНИЯ ПО СПЕЦИАЛЬНОСТИ 44.02.02 ПРЕПОДАВАНИЕ В НАЧАЛЬНЫХ КЛАССАХ</w:t>
      </w:r>
    </w:p>
    <w:p>
      <w:pPr>
        <w:pStyle w:val="Normal"/>
        <w:shd w:val="clear" w:color="auto" w:fill="FFFFFF"/>
        <w:suppressAutoHyphens w:val="false"/>
        <w:jc w:val="center"/>
        <w:rPr>
          <w:rFonts w:ascii="Times New Roman" w:hAnsi="Times New Roman" w:eastAsia="Times New Roman" w:cs="Times New Roman"/>
          <w:b/>
          <w:color w:val="18181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81818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uppressAutoHyphens w:val="false"/>
        <w:jc w:val="center"/>
        <w:rPr>
          <w:rFonts w:ascii="Times New Roman" w:hAnsi="Times New Roman" w:eastAsia="Times New Roman" w:cs="Times New Roman"/>
          <w:b/>
          <w:color w:val="18181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81818"/>
          <w:sz w:val="28"/>
          <w:szCs w:val="28"/>
          <w:lang w:eastAsia="ru-RU"/>
        </w:rPr>
        <w:t>  </w:t>
      </w:r>
    </w:p>
    <w:p>
      <w:pPr>
        <w:pStyle w:val="Normal"/>
        <w:shd w:val="clear" w:color="auto" w:fill="FFFFFF"/>
        <w:suppressAutoHyphens w:val="false"/>
        <w:jc w:val="center"/>
        <w:rPr>
          <w:rFonts w:ascii="Times New Roman" w:hAnsi="Times New Roman" w:eastAsia="Times New Roman" w:cs="Times New Roman"/>
          <w:b/>
          <w:color w:val="181818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81818"/>
          <w:sz w:val="28"/>
          <w:szCs w:val="28"/>
          <w:lang w:eastAsia="ru-RU"/>
        </w:rPr>
        <w:t>МДК.01.07. «</w:t>
      </w:r>
      <w:r>
        <w:rPr>
          <w:rFonts w:cs="Times New Roman" w:ascii="Times New Roman" w:hAnsi="Times New Roman"/>
          <w:b/>
          <w:sz w:val="28"/>
          <w:szCs w:val="28"/>
        </w:rPr>
        <w:t>МЕТОДИКА ОБУЧЕНИЯ ТЕХНОЛОГИИ С ПРАКТИКУМОМ</w:t>
      </w:r>
      <w:r>
        <w:rPr>
          <w:rFonts w:eastAsia="Times New Roman" w:cs="Times New Roman" w:ascii="Times New Roman" w:hAnsi="Times New Roman"/>
          <w:b/>
          <w:color w:val="181818"/>
          <w:sz w:val="28"/>
          <w:szCs w:val="28"/>
          <w:lang w:eastAsia="ru-RU"/>
        </w:rPr>
        <w:t>»</w:t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 w:eastAsia="" w:cs="Times New Roman" w:eastAsiaTheme="minorEastAsia"/>
          <w:b/>
          <w:caps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b/>
          <w:caps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 w:eastAsia="" w:cs="Times New Roman" w:eastAsiaTheme="minorEastAsia"/>
          <w:b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rFonts w:ascii="Times New Roman" w:hAnsi="Times New Roman" w:eastAsia="" w:cs="Times New Roman" w:eastAsiaTheme="minorEastAsia"/>
          <w:b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center"/>
        <w:rPr>
          <w:rFonts w:ascii="Times New Roman" w:hAnsi="Times New Roman" w:eastAsia="" w:cs="Times New Roman" w:eastAsiaTheme="minorEastAsia"/>
          <w:b/>
          <w:caps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b/>
          <w:caps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center"/>
        <w:rPr>
          <w:rFonts w:ascii="Times New Roman" w:hAnsi="Times New Roman" w:eastAsia="" w:cs="Times New Roman" w:eastAsiaTheme="minorEastAsia"/>
          <w:caps/>
          <w:color w:val="FF0000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caps/>
          <w:color w:val="FF0000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center"/>
        <w:rPr>
          <w:rFonts w:ascii="Times New Roman" w:hAnsi="Times New Roman" w:eastAsia="" w:cs="Times New Roman" w:eastAsiaTheme="minorEastAsia"/>
          <w:caps/>
          <w:color w:val="FF0000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caps/>
          <w:color w:val="FF0000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center"/>
        <w:rPr>
          <w:rFonts w:ascii="Times New Roman" w:hAnsi="Times New Roman" w:eastAsia="" w:cs="Times New Roman" w:eastAsiaTheme="minorEastAsia"/>
          <w:caps/>
          <w:color w:val="FF0000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caps/>
          <w:color w:val="FF0000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center"/>
        <w:rPr>
          <w:rFonts w:ascii="Times New Roman" w:hAnsi="Times New Roman" w:eastAsia="" w:cs="Times New Roman" w:eastAsiaTheme="minorEastAsia"/>
          <w:caps/>
          <w:color w:val="FF0000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caps/>
          <w:color w:val="FF0000"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200"/>
        <w:jc w:val="center"/>
        <w:rPr>
          <w:rFonts w:ascii="Times New Roman" w:hAnsi="Times New Roman" w:eastAsia="" w:cs="Times New Roman" w:eastAsiaTheme="minorEastAsia"/>
          <w:b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Каргополь, 2024г.</w:t>
      </w:r>
    </w:p>
    <w:p>
      <w:pPr>
        <w:pStyle w:val="Normal"/>
        <w:widowControl w:val="false"/>
        <w:spacing w:before="0" w:after="1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13"/>
        <w:spacing w:lineRule="auto" w:line="360"/>
        <w:jc w:val="center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Рабочая программа профессионального модуля</w:t>
      </w:r>
      <w:r>
        <w:rPr>
          <w:rFonts w:ascii="Times New Roman" w:hAnsi="Times New Roman"/>
          <w:cap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разработана на основе Федерального государственного образовательного стандарта по специальностям среднего профессионального образования по </w:t>
      </w:r>
      <w:r>
        <w:rPr>
          <w:rFonts w:ascii="Times New Roman" w:hAnsi="Times New Roman"/>
          <w:iCs/>
          <w:sz w:val="28"/>
          <w:szCs w:val="28"/>
        </w:rPr>
        <w:t>специальности</w:t>
      </w:r>
    </w:p>
    <w:p>
      <w:pPr>
        <w:pStyle w:val="13"/>
        <w:spacing w:lineRule="auto" w: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44.02.02 Преподавание в начальных классах</w:t>
      </w:r>
    </w:p>
    <w:p>
      <w:pPr>
        <w:pStyle w:val="Normal"/>
        <w:widowControl w:val="false"/>
        <w:tabs>
          <w:tab w:val="clear" w:pos="708"/>
          <w:tab w:val="left" w:pos="0" w:leader="none"/>
        </w:tabs>
        <w:spacing w:lineRule="auto" w:line="276" w:before="0" w:after="200"/>
        <w:rPr>
          <w:rFonts w:ascii="Times New Roman" w:hAnsi="Times New Roman" w:eastAsia="" w:cs="Times New Roman" w:eastAsiaTheme="minorEastAsia"/>
          <w:sz w:val="28"/>
          <w:szCs w:val="28"/>
          <w:vertAlign w:val="superscript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vertAlign w:val="superscript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Организация-разработчик: ГБПОУ АО «Каргопольский педколледж»</w:t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Разработчики:</w:t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Кузьмина М.В., преподаватель технологии, без категории.</w:t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jc w:val="both"/>
        <w:rPr>
          <w:rFonts w:ascii="Times New Roman" w:hAnsi="Times New Roman" w:eastAsia="" w:cs="Times New Roman" w:eastAsiaTheme="minorEastAsia"/>
          <w:sz w:val="28"/>
          <w:szCs w:val="28"/>
          <w:vertAlign w:val="superscript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vertAlign w:val="superscript"/>
          <w:lang w:eastAsia="ru-RU"/>
        </w:rPr>
        <w:t xml:space="preserve"> </w:t>
      </w:r>
    </w:p>
    <w:p>
      <w:pPr>
        <w:pStyle w:val="Normal"/>
        <w:widowControl w:val="false"/>
        <w:tabs>
          <w:tab w:val="clear" w:pos="708"/>
          <w:tab w:val="left" w:pos="6420" w:leader="none"/>
        </w:tabs>
        <w:spacing w:lineRule="auto" w:line="276" w:before="0" w:after="20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200"/>
        <w:ind w:firstLine="708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Рекомендована Экспертным советом по профессиональному образованию Федерального государственного учреждения Федерального института развития образования (ФГУ ФИРО) 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ind w:firstLine="709"/>
        <w:jc w:val="both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Заключение Экспертного совета № _______от «____»__________ 20___ г.</w:t>
      </w:r>
    </w:p>
    <w:p>
      <w:pPr>
        <w:pStyle w:val="Normal"/>
        <w:shd w:val="clear" w:color="auto" w:fill="FFFFFF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76" w:before="0" w:after="200"/>
        <w:ind w:firstLine="709"/>
        <w:jc w:val="both"/>
        <w:rPr>
          <w:rFonts w:ascii="Times New Roman" w:hAnsi="Times New Roman" w:eastAsia="" w:cs="Times New Roman" w:eastAsiaTheme="minorEastAsia"/>
          <w:i/>
          <w:i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ab/>
        <w:tab/>
        <w:tab/>
        <w:tab/>
        <w:tab/>
        <w:t xml:space="preserve">             </w:t>
      </w:r>
      <w:r>
        <w:rPr>
          <w:rFonts w:eastAsia="" w:cs="Times New Roman" w:ascii="Times New Roman" w:hAnsi="Times New Roman" w:eastAsiaTheme="minorEastAsia"/>
          <w:i/>
          <w:sz w:val="28"/>
          <w:szCs w:val="28"/>
          <w:lang w:eastAsia="ru-RU"/>
        </w:rPr>
        <w:t>номер</w:t>
      </w:r>
    </w:p>
    <w:p>
      <w:pPr>
        <w:pStyle w:val="Normal"/>
        <w:widowControl w:val="false"/>
        <w:tabs>
          <w:tab w:val="clear" w:pos="708"/>
          <w:tab w:val="left" w:pos="0" w:leader="none"/>
        </w:tabs>
        <w:spacing w:lineRule="auto" w:line="276" w:before="0" w:after="200"/>
        <w:jc w:val="center"/>
        <w:rPr>
          <w:rFonts w:ascii="Times New Roman" w:hAnsi="Times New Roman" w:eastAsia="" w:cs="Times New Roman" w:eastAsiaTheme="minorEastAsia"/>
          <w:b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b/>
          <w:sz w:val="28"/>
          <w:szCs w:val="28"/>
          <w:lang w:eastAsia="ru-RU"/>
        </w:rPr>
      </w:r>
    </w:p>
    <w:p>
      <w:pPr>
        <w:pStyle w:val="13"/>
        <w:jc w:val="center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</w:r>
    </w:p>
    <w:p>
      <w:pPr>
        <w:pStyle w:val="13"/>
        <w:jc w:val="center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</w:r>
    </w:p>
    <w:p>
      <w:pPr>
        <w:pStyle w:val="13"/>
        <w:jc w:val="center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</w:r>
    </w:p>
    <w:p>
      <w:pPr>
        <w:pStyle w:val="13"/>
        <w:jc w:val="center"/>
        <w:rPr>
          <w:rFonts w:ascii="Times New Roman" w:hAnsi="Times New Roman"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</w:r>
    </w:p>
    <w:p>
      <w:pPr>
        <w:pStyle w:val="Normal"/>
        <w:spacing w:before="178" w:after="0"/>
        <w:ind w:left="3395" w:right="3399"/>
        <w:jc w:val="center"/>
        <w:rPr>
          <w:b/>
          <w:sz w:val="28"/>
        </w:rPr>
      </w:pPr>
      <w:r>
        <w:rPr>
          <w:b/>
          <w:sz w:val="28"/>
        </w:rPr>
        <w:t>СОДЕРЖАНИЕ</w:t>
      </w:r>
    </w:p>
    <w:sdt>
      <w:sdtPr>
        <w:docPartObj>
          <w:docPartGallery w:val="Table of Contents"/>
          <w:docPartUnique w:val="true"/>
        </w:docPartObj>
        <w:id w:val="266744433"/>
      </w:sdtPr>
      <w:sdtContent>
        <w:p>
          <w:pPr>
            <w:pStyle w:val="TOCHeading"/>
            <w:rPr/>
          </w:pPr>
          <w:r>
            <w:rPr/>
          </w:r>
        </w:p>
        <w:p>
          <w:pPr>
            <w:pStyle w:val="TOC1"/>
            <w:tabs>
              <w:tab w:val="clear" w:pos="708"/>
              <w:tab w:val="left" w:pos="660" w:leader="none"/>
              <w:tab w:val="right" w:pos="9590" w:leader="dot"/>
            </w:tabs>
            <w:rPr>
              <w:rFonts w:eastAsia="" w:eastAsiaTheme="minorEastAsia"/>
              <w:lang w:eastAsia="ru-RU"/>
            </w:rPr>
          </w:pPr>
          <w:r>
            <w:fldChar w:fldCharType="begin"/>
          </w:r>
          <w:r>
            <w:rPr>
              <w:webHidden/>
              <w:rStyle w:val="Style17"/>
            </w:rPr>
            <w:instrText xml:space="preserve"> TOC \z \o "1-3" \u \h</w:instrText>
          </w:r>
          <w:r>
            <w:rPr>
              <w:webHidden/>
              <w:rStyle w:val="Style17"/>
            </w:rPr>
            <w:fldChar w:fldCharType="separate"/>
          </w:r>
          <w:hyperlink w:anchor="_Toc185490537">
            <w:r>
              <w:rPr>
                <w:webHidden/>
                <w:rStyle w:val="Style17"/>
              </w:rPr>
              <w:t>1.</w:t>
            </w:r>
            <w:r>
              <w:rPr>
                <w:rStyle w:val="Style17"/>
                <w:rFonts w:eastAsia="" w:eastAsiaTheme="minorEastAsia"/>
                <w:lang w:eastAsia="ru-RU"/>
              </w:rPr>
              <w:tab/>
            </w:r>
            <w:r>
              <w:rPr>
                <w:rStyle w:val="Style17"/>
              </w:rPr>
              <w:t>ПАСПОРТ РАБОЧЕЙ ПРОГРАММЫ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_Toc185490537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590" w:leader="dot"/>
            </w:tabs>
            <w:rPr>
              <w:rFonts w:ascii="Times New Roman" w:hAnsi="Times New Roman" w:eastAsia="" w:cs="Times New Roman" w:eastAsiaTheme="minorEastAsia"/>
              <w:sz w:val="28"/>
              <w:szCs w:val="28"/>
              <w:lang w:eastAsia="ru-RU"/>
            </w:rPr>
          </w:pPr>
          <w:hyperlink w:anchor="_Toc185490538">
            <w:r>
              <w:rPr>
                <w:webHidden/>
                <w:rStyle w:val="Style17"/>
                <w:rFonts w:cs="Times New Roman" w:ascii="Times New Roman" w:hAnsi="Times New Roman"/>
                <w:sz w:val="28"/>
                <w:szCs w:val="28"/>
              </w:rPr>
              <w:t>1.1 Область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применения</w:t>
            </w:r>
            <w:r>
              <w:rPr>
                <w:rStyle w:val="Style17"/>
                <w:rFonts w:cs="Times New Roman"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рабочей</w:t>
            </w:r>
            <w:r>
              <w:rPr>
                <w:rStyle w:val="Style17"/>
                <w:rFonts w:cs="Times New Roman"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программы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_Toc185490538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rFonts w:cs="Times New Roman" w:ascii="Times New Roman" w:hAnsi="Times New Roman"/>
                <w:vanish w:val="false"/>
                <w:sz w:val="28"/>
                <w:szCs w:val="28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590" w:leader="dot"/>
            </w:tabs>
            <w:rPr>
              <w:rFonts w:ascii="Times New Roman" w:hAnsi="Times New Roman" w:eastAsia="" w:cs="Times New Roman" w:eastAsiaTheme="minorEastAsia"/>
              <w:sz w:val="28"/>
              <w:szCs w:val="28"/>
              <w:lang w:eastAsia="ru-RU"/>
            </w:rPr>
          </w:pPr>
          <w:hyperlink w:anchor="_Toc185490539">
            <w:r>
              <w:rPr>
                <w:webHidden/>
                <w:rStyle w:val="Style17"/>
                <w:rFonts w:cs="Times New Roman" w:ascii="Times New Roman" w:hAnsi="Times New Roman"/>
                <w:sz w:val="28"/>
                <w:szCs w:val="28"/>
              </w:rPr>
              <w:t>1.2. Цели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и</w:t>
            </w:r>
            <w:r>
              <w:rPr>
                <w:rStyle w:val="Style17"/>
                <w:rFonts w:cs="Times New Roman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задачи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МДК –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требования</w:t>
            </w:r>
            <w:r>
              <w:rPr>
                <w:rStyle w:val="Style17"/>
                <w:rFonts w:cs="Times New Roman"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к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результатам освоения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МДК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_Toc185490539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rFonts w:cs="Times New Roman" w:ascii="Times New Roman" w:hAnsi="Times New Roman"/>
                <w:vanish w:val="false"/>
                <w:sz w:val="28"/>
                <w:szCs w:val="28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590" w:leader="dot"/>
            </w:tabs>
            <w:rPr>
              <w:rFonts w:ascii="Times New Roman" w:hAnsi="Times New Roman" w:eastAsia="" w:cs="Times New Roman" w:eastAsiaTheme="minorEastAsia"/>
              <w:sz w:val="28"/>
              <w:szCs w:val="28"/>
              <w:lang w:eastAsia="ru-RU"/>
            </w:rPr>
          </w:pPr>
          <w:hyperlink w:anchor="_Toc185490540">
            <w:r>
              <w:rPr>
                <w:webHidden/>
                <w:rStyle w:val="Style17"/>
                <w:rFonts w:cs="Times New Roman" w:ascii="Times New Roman" w:hAnsi="Times New Roman"/>
                <w:sz w:val="28"/>
                <w:szCs w:val="28"/>
              </w:rPr>
              <w:t>1.3. Планируемые</w:t>
            </w:r>
            <w:r>
              <w:rPr>
                <w:rStyle w:val="Style17"/>
                <w:rFonts w:cs="Times New Roman"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личностные</w:t>
            </w:r>
            <w:r>
              <w:rPr>
                <w:rStyle w:val="Style17"/>
                <w:rFonts w:cs="Times New Roman"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результаты</w:t>
            </w:r>
            <w:r>
              <w:rPr>
                <w:rStyle w:val="Style17"/>
                <w:rFonts w:cs="Times New Roman"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освоения</w:t>
            </w:r>
            <w:r>
              <w:rPr>
                <w:rStyle w:val="Style17"/>
                <w:rFonts w:cs="Times New Roman"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рабочей</w:t>
            </w:r>
            <w:r>
              <w:rPr>
                <w:rStyle w:val="Style17"/>
                <w:rFonts w:cs="Times New Roman"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программы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_Toc185490540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rFonts w:cs="Times New Roman" w:ascii="Times New Roman" w:hAnsi="Times New Roman"/>
                <w:vanish w:val="false"/>
                <w:sz w:val="28"/>
                <w:szCs w:val="28"/>
              </w:rPr>
              <w:tab/>
              <w:t>12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590" w:leader="dot"/>
            </w:tabs>
            <w:rPr>
              <w:rFonts w:ascii="Times New Roman" w:hAnsi="Times New Roman" w:eastAsia="" w:cs="Times New Roman" w:eastAsiaTheme="minorEastAsia"/>
              <w:sz w:val="28"/>
              <w:szCs w:val="28"/>
              <w:lang w:eastAsia="ru-RU"/>
            </w:rPr>
          </w:pPr>
          <w:hyperlink w:anchor="_Toc185490541">
            <w:r>
              <w:rPr>
                <w:webHidden/>
                <w:rStyle w:val="Style17"/>
                <w:rFonts w:cs="Times New Roman" w:ascii="Times New Roman" w:hAnsi="Times New Roman"/>
                <w:sz w:val="28"/>
                <w:szCs w:val="28"/>
              </w:rPr>
              <w:t>1.4. Количество</w:t>
            </w:r>
            <w:r>
              <w:rPr>
                <w:rStyle w:val="Style17"/>
                <w:rFonts w:cs="Times New Roman"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часов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на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освоение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рабочей</w:t>
            </w:r>
            <w:r>
              <w:rPr>
                <w:rStyle w:val="Style17"/>
                <w:rFonts w:cs="Times New Roman"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программы</w:t>
            </w:r>
            <w:r>
              <w:rPr>
                <w:rStyle w:val="Style17"/>
                <w:rFonts w:cs="Times New Roman"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Style w:val="Style17"/>
                <w:rFonts w:cs="Times New Roman" w:ascii="Times New Roman" w:hAnsi="Times New Roman"/>
                <w:sz w:val="28"/>
                <w:szCs w:val="28"/>
              </w:rPr>
              <w:t>МДК: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_Toc185490541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rFonts w:cs="Times New Roman" w:ascii="Times New Roman" w:hAnsi="Times New Roman"/>
                <w:vanish w:val="false"/>
                <w:sz w:val="28"/>
                <w:szCs w:val="28"/>
              </w:rPr>
              <w:tab/>
              <w:t>13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660" w:leader="none"/>
              <w:tab w:val="right" w:pos="9590" w:leader="dot"/>
            </w:tabs>
            <w:rPr>
              <w:rFonts w:eastAsia="" w:eastAsiaTheme="minorEastAsia"/>
              <w:lang w:eastAsia="ru-RU"/>
            </w:rPr>
          </w:pPr>
          <w:hyperlink w:anchor="_Toc185490542">
            <w:r>
              <w:rPr>
                <w:webHidden/>
                <w:rStyle w:val="Style17"/>
              </w:rPr>
              <w:t>2.</w:t>
            </w:r>
            <w:r>
              <w:rPr>
                <w:rStyle w:val="Style17"/>
                <w:rFonts w:eastAsia="" w:eastAsiaTheme="minorEastAsia"/>
                <w:lang w:eastAsia="ru-RU"/>
              </w:rPr>
              <w:tab/>
            </w:r>
            <w:r>
              <w:rPr>
                <w:rStyle w:val="Style17"/>
              </w:rPr>
              <w:t>РЕЗУЛЬТАТЫ ОСВОЕНИЯ МДК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_Toc185490542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vanish w:val="false"/>
              </w:rPr>
              <w:tab/>
              <w:t>13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590" w:leader="dot"/>
            </w:tabs>
            <w:rPr>
              <w:rFonts w:eastAsia="" w:eastAsiaTheme="minorEastAsia"/>
              <w:lang w:eastAsia="ru-RU"/>
            </w:rPr>
          </w:pPr>
          <w:hyperlink w:anchor="_Toc185490543">
            <w:r>
              <w:rPr>
                <w:webHidden/>
                <w:rStyle w:val="Style17"/>
              </w:rPr>
              <w:t>3. СТРУКТУРА И СОДЕРЖАНИЕ ПРОФЕССИОНАЛЬНОГО МОДУЛЯ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_Toc185490543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vanish w:val="false"/>
              </w:rPr>
              <w:tab/>
              <w:t>16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590" w:leader="dot"/>
            </w:tabs>
            <w:rPr>
              <w:rFonts w:ascii="Times New Roman" w:hAnsi="Times New Roman" w:eastAsia="" w:cs="Times New Roman" w:eastAsiaTheme="minorEastAsia"/>
              <w:sz w:val="28"/>
              <w:szCs w:val="28"/>
              <w:lang w:eastAsia="ru-RU"/>
            </w:rPr>
          </w:pPr>
          <w:hyperlink w:anchor="_Toc185490544">
            <w:r>
              <w:rPr>
                <w:webHidden/>
                <w:rStyle w:val="Style17"/>
                <w:rFonts w:cs="Times New Roman" w:ascii="Times New Roman" w:hAnsi="Times New Roman"/>
                <w:sz w:val="28"/>
                <w:szCs w:val="28"/>
              </w:rPr>
              <w:t>3.1. Структура профессионального модуля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_Toc185490544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rFonts w:cs="Times New Roman" w:ascii="Times New Roman" w:hAnsi="Times New Roman"/>
                <w:vanish w:val="false"/>
                <w:sz w:val="28"/>
                <w:szCs w:val="28"/>
              </w:rPr>
              <w:tab/>
              <w:t>16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2"/>
            <w:tabs>
              <w:tab w:val="clear" w:pos="708"/>
              <w:tab w:val="right" w:pos="9590" w:leader="dot"/>
            </w:tabs>
            <w:rPr>
              <w:rFonts w:ascii="Times New Roman" w:hAnsi="Times New Roman" w:eastAsia="" w:cs="Times New Roman" w:eastAsiaTheme="minorEastAsia"/>
              <w:sz w:val="28"/>
              <w:szCs w:val="28"/>
              <w:lang w:eastAsia="ru-RU"/>
            </w:rPr>
          </w:pPr>
          <w:hyperlink w:anchor="_Toc185490545">
            <w:r>
              <w:rPr>
                <w:webHidden/>
                <w:rStyle w:val="Style17"/>
                <w:rFonts w:cs="Times New Roman" w:ascii="Times New Roman" w:hAnsi="Times New Roman"/>
                <w:sz w:val="28"/>
                <w:szCs w:val="28"/>
              </w:rPr>
              <w:t>3.2. Тематический план и содержание профессионального модуля (ПМ)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_Toc185490545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rFonts w:cs="Times New Roman" w:ascii="Times New Roman" w:hAnsi="Times New Roman"/>
                <w:vanish w:val="false"/>
                <w:sz w:val="28"/>
                <w:szCs w:val="28"/>
              </w:rPr>
              <w:tab/>
              <w:t>19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590" w:leader="dot"/>
            </w:tabs>
            <w:rPr>
              <w:rFonts w:eastAsia="" w:eastAsiaTheme="minorEastAsia"/>
              <w:lang w:eastAsia="ru-RU"/>
            </w:rPr>
          </w:pPr>
          <w:hyperlink w:anchor="_Toc185490546">
            <w:r>
              <w:rPr>
                <w:webHidden/>
                <w:rStyle w:val="Style17"/>
              </w:rPr>
              <w:t>4. УСЛОВИЯ РЕАЛИЗАЦИИ ПРОФЕССИОНАЛЬНОГО МОДУЛЯ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_Toc185490546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7"/>
                <w:vanish w:val="false"/>
              </w:rPr>
              <w:tab/>
              <w:t>30</w:t>
            </w:r>
            <w:r>
              <w:rPr>
                <w:webHidden/>
              </w:rPr>
              <w:fldChar w:fldCharType="end"/>
            </w:r>
          </w:hyperlink>
          <w:r>
            <w:rPr>
              <w:rStyle w:val="Style17"/>
              <w:vanish w:val="false"/>
            </w:rPr>
            <w:fldChar w:fldCharType="end"/>
          </w:r>
        </w:p>
      </w:sdtContent>
    </w:sdt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uppressAutoHyphens w:val="false"/>
        <w:spacing w:lineRule="auto" w:line="259" w:before="0" w:after="160"/>
        <w:rPr>
          <w:b/>
          <w:sz w:val="28"/>
        </w:rPr>
      </w:pPr>
      <w:r>
        <w:rPr>
          <w:b/>
          <w:sz w:val="28"/>
        </w:rPr>
      </w:r>
      <w:r>
        <w:br w:type="page"/>
      </w:r>
    </w:p>
    <w:p>
      <w:pPr>
        <w:pStyle w:val="ListParagraph"/>
        <w:tabs>
          <w:tab w:val="clear" w:pos="708"/>
          <w:tab w:val="left" w:pos="2488" w:leader="none"/>
          <w:tab w:val="left" w:pos="2691" w:leader="none"/>
        </w:tabs>
        <w:spacing w:lineRule="auto" w:line="240" w:before="0" w:after="0"/>
        <w:ind w:firstLine="1346" w:left="281" w:right="861"/>
        <w:jc w:val="left"/>
        <w:rPr>
          <w:b/>
          <w:sz w:val="28"/>
          <w:szCs w:val="28"/>
        </w:rPr>
      </w:pPr>
      <w:r>
        <w:rPr/>
      </w:r>
      <w:bookmarkStart w:id="0" w:name="_Toc185490543"/>
      <w:bookmarkStart w:id="1" w:name="_Toc185490543"/>
      <w:bookmarkEnd w:id="1"/>
    </w:p>
    <w:tbl>
      <w:tblPr>
        <w:tblStyle w:val="TableNormal"/>
        <w:tblW w:w="9115" w:type="dxa"/>
        <w:jc w:val="left"/>
        <w:tblInd w:w="24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 w:noHBand="0" w:noVBand="0" w:firstColumn="1" w:lastRow="1" w:lastColumn="1" w:firstRow="1"/>
      </w:tblPr>
      <w:tblGrid>
        <w:gridCol w:w="7799"/>
        <w:gridCol w:w="1315"/>
      </w:tblGrid>
      <w:tr>
        <w:trPr>
          <w:trHeight w:val="966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2589" w:right="2579"/>
              <w:jc w:val="center"/>
              <w:rPr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Вид</w:t>
            </w:r>
            <w:r>
              <w:rPr>
                <w:b/>
                <w:spacing w:val="-2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учебной</w:t>
            </w:r>
            <w:r>
              <w:rPr>
                <w:b/>
                <w:spacing w:val="-3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работы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Объем</w:t>
            </w:r>
          </w:p>
          <w:p>
            <w:pPr>
              <w:pStyle w:val="TableParagraph"/>
              <w:spacing w:lineRule="exact" w:line="322" w:before="0" w:after="0"/>
              <w:ind w:left="107" w:right="345"/>
              <w:jc w:val="left"/>
              <w:rPr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часов</w:t>
            </w:r>
            <w:r>
              <w:rPr>
                <w:b/>
                <w:spacing w:val="1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новый</w:t>
            </w:r>
          </w:p>
        </w:tc>
      </w:tr>
      <w:tr>
        <w:trPr>
          <w:trHeight w:val="321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 w:before="0" w:after="0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Максимальная</w:t>
            </w:r>
            <w:r>
              <w:rPr>
                <w:b/>
                <w:spacing w:val="-5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учебная</w:t>
            </w:r>
            <w:r>
              <w:rPr>
                <w:b/>
                <w:spacing w:val="-5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нагрузка</w:t>
            </w:r>
            <w:r>
              <w:rPr>
                <w:b/>
                <w:spacing w:val="-3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(всего)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 w:before="0" w:after="0"/>
              <w:ind w:left="496" w:right="488"/>
              <w:jc w:val="center"/>
              <w:rPr>
                <w:b/>
                <w:sz w:val="28"/>
                <w:lang w:val="ru-RU"/>
              </w:rPr>
            </w:pP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70</w:t>
            </w:r>
          </w:p>
        </w:tc>
      </w:tr>
      <w:tr>
        <w:trPr>
          <w:trHeight w:val="645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val="clear" w:pos="708"/>
                <w:tab w:val="left" w:pos="1958" w:leader="none"/>
                <w:tab w:val="left" w:pos="3290" w:leader="none"/>
                <w:tab w:val="left" w:pos="4463" w:leader="none"/>
                <w:tab w:val="left" w:pos="6628" w:leader="none"/>
              </w:tabs>
              <w:spacing w:lineRule="exact" w:line="322" w:before="0" w:after="0"/>
              <w:ind w:left="107" w:right="96"/>
              <w:jc w:val="left"/>
              <w:rPr>
                <w:b/>
                <w:sz w:val="28"/>
                <w:lang w:val="ru-RU"/>
              </w:rPr>
            </w:pP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Аудиторная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ab/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учебная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ab/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работа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ab/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(обязательные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ab/>
            </w:r>
            <w:r>
              <w:rPr>
                <w:b/>
                <w:spacing w:val="-2"/>
                <w:kern w:val="0"/>
                <w:sz w:val="28"/>
                <w:szCs w:val="22"/>
                <w:lang w:val="ru-RU" w:eastAsia="en-US" w:bidi="ar-SA"/>
              </w:rPr>
              <w:t>учебные</w:t>
            </w:r>
            <w:r>
              <w:rPr>
                <w:b/>
                <w:spacing w:val="-67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занятия)</w:t>
            </w:r>
            <w:r>
              <w:rPr>
                <w:b/>
                <w:spacing w:val="-1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(всего)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496" w:right="488"/>
              <w:jc w:val="center"/>
              <w:rPr>
                <w:b/>
                <w:sz w:val="28"/>
                <w:lang w:val="ru-RU"/>
              </w:rPr>
            </w:pP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70</w:t>
            </w:r>
          </w:p>
        </w:tc>
      </w:tr>
      <w:tr>
        <w:trPr>
          <w:trHeight w:val="484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107"/>
              <w:jc w:val="left"/>
              <w:rPr>
                <w:b/>
                <w:sz w:val="28"/>
                <w:lang w:val="ru-RU"/>
              </w:rPr>
            </w:pP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из</w:t>
            </w:r>
            <w:r>
              <w:rPr>
                <w:b/>
                <w:spacing w:val="-3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них</w:t>
            </w:r>
            <w:r>
              <w:rPr>
                <w:b/>
                <w:spacing w:val="-1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в</w:t>
            </w:r>
            <w:r>
              <w:rPr>
                <w:b/>
                <w:spacing w:val="-2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форме</w:t>
            </w:r>
            <w:r>
              <w:rPr>
                <w:b/>
                <w:spacing w:val="-2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практической</w:t>
            </w:r>
            <w:r>
              <w:rPr>
                <w:b/>
                <w:spacing w:val="-4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подготовки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496" w:right="488"/>
              <w:jc w:val="center"/>
              <w:rPr>
                <w:b/>
                <w:sz w:val="28"/>
                <w:lang w:val="ru-RU"/>
              </w:rPr>
            </w:pP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42</w:t>
            </w:r>
          </w:p>
        </w:tc>
      </w:tr>
      <w:tr>
        <w:trPr>
          <w:trHeight w:val="333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3" w:before="0" w:after="0"/>
              <w:ind w:left="10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в</w:t>
            </w:r>
            <w:r>
              <w:rPr>
                <w:spacing w:val="-1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en-US" w:eastAsia="en-US" w:bidi="ar-SA"/>
              </w:rPr>
              <w:t>том</w:t>
            </w:r>
            <w:r>
              <w:rPr>
                <w:spacing w:val="-1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en-US" w:eastAsia="en-US" w:bidi="ar-SA"/>
              </w:rPr>
              <w:t>числе: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en-US" w:eastAsia="en-US" w:bidi="ar-SA"/>
              </w:rPr>
            </w:r>
          </w:p>
        </w:tc>
      </w:tr>
      <w:tr>
        <w:trPr>
          <w:trHeight w:val="323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 w:before="0" w:after="0"/>
              <w:ind w:left="45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теоретические</w:t>
            </w:r>
            <w:r>
              <w:rPr>
                <w:spacing w:val="-4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en-US" w:eastAsia="en-US" w:bidi="ar-SA"/>
              </w:rPr>
              <w:t>занятия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4" w:before="0" w:after="0"/>
              <w:ind w:left="496" w:right="488"/>
              <w:jc w:val="center"/>
              <w:rPr>
                <w:sz w:val="28"/>
                <w:lang w:val="ru-RU"/>
              </w:rPr>
            </w:pPr>
            <w:r>
              <w:rPr>
                <w:kern w:val="0"/>
                <w:sz w:val="28"/>
                <w:szCs w:val="22"/>
                <w:lang w:val="ru-RU" w:eastAsia="en-US" w:bidi="ar-SA"/>
              </w:rPr>
              <w:t>28</w:t>
            </w:r>
          </w:p>
        </w:tc>
      </w:tr>
      <w:tr>
        <w:trPr>
          <w:trHeight w:val="321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 w:before="0" w:after="0"/>
              <w:ind w:left="45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лабораторные</w:t>
            </w:r>
            <w:r>
              <w:rPr>
                <w:spacing w:val="67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en-US" w:eastAsia="en-US" w:bidi="ar-SA"/>
              </w:rPr>
              <w:t>работы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 w:before="0" w:after="0"/>
              <w:ind w:left="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-</w:t>
            </w:r>
          </w:p>
        </w:tc>
      </w:tr>
      <w:tr>
        <w:trPr>
          <w:trHeight w:val="321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 w:before="0" w:after="0"/>
              <w:ind w:left="45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практические</w:t>
            </w:r>
            <w:r>
              <w:rPr>
                <w:spacing w:val="-4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en-US" w:eastAsia="en-US" w:bidi="ar-SA"/>
              </w:rPr>
              <w:t>занятия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01" w:before="0" w:after="0"/>
              <w:ind w:left="496" w:right="488"/>
              <w:jc w:val="center"/>
              <w:rPr>
                <w:sz w:val="28"/>
                <w:lang w:val="ru-RU"/>
              </w:rPr>
            </w:pPr>
            <w:r>
              <w:rPr>
                <w:kern w:val="0"/>
                <w:sz w:val="28"/>
                <w:szCs w:val="22"/>
                <w:lang w:val="ru-RU" w:eastAsia="en-US" w:bidi="ar-SA"/>
              </w:rPr>
              <w:t>42</w:t>
            </w:r>
          </w:p>
        </w:tc>
      </w:tr>
      <w:tr>
        <w:trPr>
          <w:trHeight w:val="333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3" w:before="0" w:after="0"/>
              <w:ind w:left="45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контрольные</w:t>
            </w:r>
            <w:r>
              <w:rPr>
                <w:spacing w:val="-1"/>
                <w:kern w:val="0"/>
                <w:sz w:val="28"/>
                <w:szCs w:val="22"/>
                <w:lang w:val="en-US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en-US" w:eastAsia="en-US" w:bidi="ar-SA"/>
              </w:rPr>
              <w:t>работы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3" w:before="0" w:after="0"/>
              <w:ind w:left="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-</w:t>
            </w:r>
          </w:p>
        </w:tc>
      </w:tr>
      <w:tr>
        <w:trPr>
          <w:trHeight w:val="645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22" w:before="0" w:after="0"/>
              <w:ind w:left="107"/>
              <w:jc w:val="left"/>
              <w:rPr>
                <w:b/>
                <w:sz w:val="28"/>
                <w:lang w:val="ru-RU"/>
              </w:rPr>
            </w:pP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Самостоятельная</w:t>
            </w:r>
            <w:r>
              <w:rPr>
                <w:b/>
                <w:spacing w:val="-6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работа</w:t>
            </w:r>
            <w:r>
              <w:rPr>
                <w:b/>
                <w:spacing w:val="-4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обучающегося</w:t>
            </w:r>
            <w:r>
              <w:rPr>
                <w:b/>
                <w:spacing w:val="-4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val="ru-RU" w:eastAsia="en-US" w:bidi="ar-SA"/>
              </w:rPr>
              <w:t>(всего)</w:t>
            </w:r>
          </w:p>
          <w:p>
            <w:pPr>
              <w:pStyle w:val="TableParagraph"/>
              <w:spacing w:lineRule="exact" w:line="303" w:before="0" w:after="0"/>
              <w:ind w:left="107"/>
              <w:jc w:val="left"/>
              <w:rPr>
                <w:sz w:val="28"/>
                <w:lang w:val="ru-RU"/>
              </w:rPr>
            </w:pPr>
            <w:r>
              <w:rPr>
                <w:kern w:val="0"/>
                <w:sz w:val="28"/>
                <w:szCs w:val="22"/>
                <w:lang w:val="ru-RU" w:eastAsia="en-US" w:bidi="ar-SA"/>
              </w:rPr>
              <w:t>в</w:t>
            </w:r>
            <w:r>
              <w:rPr>
                <w:spacing w:val="-1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>том</w:t>
            </w:r>
            <w:r>
              <w:rPr>
                <w:spacing w:val="-1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>числе: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highlight w:val="yellow"/>
                <w:lang w:val="en-US" w:eastAsia="en-US" w:bidi="ar-SA"/>
              </w:rPr>
              <w:t>2</w:t>
            </w:r>
          </w:p>
        </w:tc>
      </w:tr>
      <w:tr>
        <w:trPr>
          <w:trHeight w:val="345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10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val="en-US" w:eastAsia="en-US" w:bidi="ar-SA"/>
              </w:rPr>
              <w:t>Консультации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ind w:left="6"/>
              <w:jc w:val="center"/>
              <w:rPr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val="en-US" w:eastAsia="en-US" w:bidi="ar-SA"/>
              </w:rPr>
              <w:t>2</w:t>
            </w:r>
          </w:p>
        </w:tc>
      </w:tr>
      <w:tr>
        <w:trPr>
          <w:trHeight w:val="333" w:hRule="atLeast"/>
        </w:trPr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313" w:before="0" w:after="0"/>
              <w:ind w:left="107"/>
              <w:jc w:val="left"/>
              <w:rPr>
                <w:b/>
                <w:i/>
                <w:i/>
                <w:sz w:val="28"/>
                <w:lang w:val="ru-RU"/>
              </w:rPr>
            </w:pPr>
            <w:r>
              <w:rPr>
                <w:kern w:val="0"/>
                <w:sz w:val="28"/>
                <w:szCs w:val="22"/>
                <w:lang w:val="ru-RU" w:eastAsia="en-US" w:bidi="ar-SA"/>
              </w:rPr>
              <w:t>Промежуточная</w:t>
            </w:r>
            <w:r>
              <w:rPr>
                <w:spacing w:val="-2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>аттестация</w:t>
            </w:r>
            <w:r>
              <w:rPr>
                <w:spacing w:val="-2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>в</w:t>
            </w:r>
            <w:r>
              <w:rPr>
                <w:spacing w:val="-2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val="ru-RU" w:eastAsia="en-US" w:bidi="ar-SA"/>
              </w:rPr>
              <w:t>форме</w:t>
            </w:r>
            <w:r>
              <w:rPr>
                <w:spacing w:val="66"/>
                <w:kern w:val="0"/>
                <w:sz w:val="28"/>
                <w:szCs w:val="22"/>
                <w:lang w:val="ru-RU" w:eastAsia="en-US" w:bidi="ar-SA"/>
              </w:rPr>
              <w:t xml:space="preserve"> </w:t>
            </w:r>
            <w:r>
              <w:rPr>
                <w:b/>
                <w:i/>
                <w:kern w:val="0"/>
                <w:sz w:val="28"/>
                <w:szCs w:val="22"/>
                <w:lang w:val="ru-RU" w:eastAsia="en-US" w:bidi="ar-SA"/>
              </w:rPr>
              <w:t>экзамена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 w:after="0"/>
              <w:jc w:val="left"/>
              <w:rPr>
                <w:sz w:val="24"/>
                <w:lang w:val="ru-RU"/>
              </w:rPr>
            </w:pPr>
            <w:r>
              <w:rPr>
                <w:kern w:val="0"/>
                <w:sz w:val="24"/>
                <w:szCs w:val="22"/>
                <w:lang w:val="ru-RU" w:eastAsia="en-US" w:bidi="ar-SA"/>
              </w:rPr>
            </w:r>
          </w:p>
        </w:tc>
      </w:tr>
    </w:tbl>
    <w:p>
      <w:pPr>
        <w:sectPr>
          <w:type w:val="nextPage"/>
          <w:pgSz w:w="11906" w:h="16838"/>
          <w:pgMar w:left="1580" w:right="720" w:gutter="0" w:header="0" w:top="1060" w:footer="0" w:bottom="96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Heading2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185490545"/>
      <w:r>
        <w:rPr>
          <w:rFonts w:cs="Times New Roman" w:ascii="Times New Roman" w:hAnsi="Times New Roman"/>
          <w:b/>
          <w:color w:val="auto"/>
          <w:sz w:val="28"/>
          <w:szCs w:val="28"/>
        </w:rPr>
        <w:t>3.2. Тематический план и содержание профессионального модуля (ПМ)</w:t>
      </w:r>
      <w:bookmarkEnd w:id="2"/>
    </w:p>
    <w:tbl>
      <w:tblPr>
        <w:tblW w:w="5000" w:type="pct"/>
        <w:jc w:val="left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3321"/>
        <w:gridCol w:w="9335"/>
        <w:gridCol w:w="1914"/>
      </w:tblGrid>
      <w:tr>
        <w:trPr/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разделов и тем профессионального модуля (ПМ), междисциплинарных курсов (МДК)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Содержание,</w:t>
            </w:r>
          </w:p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лабораторные работы и практические занятия, самостоятельная учебная работа обучающихся, курсовая работа (проект)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Объем, акад. ч / в том числе в форме практической подготовки, акад. ч</w:t>
            </w:r>
          </w:p>
        </w:tc>
      </w:tr>
      <w:tr>
        <w:trPr/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</w:tr>
      <w:tr>
        <w:trPr/>
        <w:tc>
          <w:tcPr>
            <w:tcW w:w="12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МДК.01.07. Методика обучения технологии с практикумом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70</w:t>
            </w:r>
          </w:p>
        </w:tc>
      </w:tr>
      <w:tr>
        <w:trPr/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 7.1. Требования к организации обучения на уроках технологии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7/13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Методика обучения технологии, как педагогическая наука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7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Технология как предметная область. Требования ФГОС НОО к содержанию и формам организации учебной деятельности по учебному предмету «Технология», задачи и принципы построения. Содержание учебного предмета «Технология»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Федеральная рабочая программа начального общего образования по технологии. Учебники технологии в начальных классах, допущенные к использованию при реализации имеющих государственную аккредитацию образовательных программ начального общего образования организациями, осуществляющими образовательную деятельность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Урок технологии в начальной школе, требования к организации учебной деятельности на уроке. Воспитательные и развивающие возможности уроков технологии в начальной школе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Универсальные учебные действия, освоенные на уроках технологии. Пропедевтический уровень освоения универсальных учебных действий. Планируемые результаты освоения программы учебного предмета «Технология» на уровне начального общего образования.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Основные модули курса: Технологии, профессии и производства, Технологии ручной обработки материалов (с бумагой и картоном, с пластичными материалами, с природными материалами, с текстильными материалами, с другими доступными материалами), Конструирование и моделирование, Информационно-коммуникативные технологии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7. Педагогический контроль результатов учебной деятельности обучающихся начальных классов освоения учебного предмета «Технология». Формы и методы диагностики учебных достижений обучающихся. Работа с одаренными детьми 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 том числе практических занятий и лабораторных работ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13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«Изучение Примерной рабочей программы начального общего образования по технологии (для 1-4 классов образовательных организаций), одобренной федеральным учебно-методическим объединением по общему образованию, протокол 3/21 от 27.09.2021г. и Примерного положения о порядке ведения тетрадей по предметам»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«Наблюдение и анализ уроков технологии в начальной школе»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Практическое занятие 3. </w:t>
            </w:r>
            <w:r>
              <w:rPr>
                <w:rFonts w:ascii="Times New Roman" w:hAnsi="Times New Roman"/>
                <w:sz w:val="28"/>
                <w:szCs w:val="28"/>
              </w:rPr>
              <w:t>«Обзор учебников технологии,  допущенных к использованию при реализации имеющих государственную аккредитацию образовательных программ начального общего образования организациями, осуществляющими образовательную деятельность»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4.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«Методы и формы организации обучения. Характеристика деятельности обучающихся на уроках технология.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«Обзор электронных (цифровых) образовательных ресурсов по технологии, являющихся учебно-методическими материалами (мультимедийные программы, электронные учебники и задачники, электронные библиотеки, виртуальные лаборатории, игровые программы, коллекции цифровых образовательных ресурсов), используемыми для обучения и воспитания учащихся начальной школы, представленных в электронном (цифровом) виде и реализующим дидактические возможности ИКТ, содержание которых соответствует законодательству об образовании»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6.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«Проектирование мини-проекта»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7.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Проектирование учебного исследования на уроке»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8.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«Проектирование урока-исследования»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9.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«Проектирование урока технологии  по предложенной теме: определение темы, целей и задач урока, выбор учебных заданий, структурирование урока, разработка технологической карты (конспекта, сценария), наглядного и раздаточного материала, дидактических средств обучения в том числе с использованием онлайн-ресурсов»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 7.2. Конструирование и моделирование из бумаги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10/10</w:t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Работа с бумагой.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10</w:t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Обработка бумаги и картона.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>
          <w:trHeight w:val="503" w:hRule="atLeast"/>
        </w:trPr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Аппликация.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>
          <w:trHeight w:val="502" w:hRule="atLeast"/>
        </w:trPr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Изучение композиции средствами аппликации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Оригами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Плоскостной картонаж, объемный картона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Переплетные работы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Ажурные шары. Ажурные подвески. Ажурные куклы.</w:t>
            </w:r>
          </w:p>
          <w:p>
            <w:pPr>
              <w:pStyle w:val="13"/>
              <w:tabs>
                <w:tab w:val="clear" w:pos="709"/>
                <w:tab w:val="left" w:pos="301" w:leader="none"/>
              </w:tabs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Способы изготовления ажурных шаров, ажурных. Способы изготовления ажурных подвесок. Способы изготовления ажурных кукол. Методик обучения изготовлению ажурных шаров и подвесок, ажурных кукол..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Игрушки из цилиндров и конусов.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2"/>
              </w:numPr>
              <w:tabs>
                <w:tab w:val="clear" w:pos="709"/>
                <w:tab w:val="left" w:pos="30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Бумажная архитектура.</w:t>
            </w:r>
          </w:p>
        </w:tc>
        <w:tc>
          <w:tcPr>
            <w:tcW w:w="191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 том числе практических занятий и лабораторных работ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10</w:t>
            </w:r>
          </w:p>
        </w:tc>
      </w:tr>
      <w:tr>
        <w:trPr/>
        <w:tc>
          <w:tcPr>
            <w:tcW w:w="33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10.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«Работа с бумагой»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 по отработке навыков работы с бумагой:</w:t>
            </w:r>
          </w:p>
          <w:p>
            <w:pPr>
              <w:pStyle w:val="1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китайская головоломка;</w:t>
            </w:r>
          </w:p>
          <w:p>
            <w:pPr>
              <w:pStyle w:val="1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головоломки с деталями, вырезанными из прямоугольника;</w:t>
            </w:r>
          </w:p>
          <w:p>
            <w:pPr>
              <w:pStyle w:val="1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о</w:t>
            </w:r>
            <w:r>
              <w:rPr>
                <w:rFonts w:ascii="Times New Roman" w:hAnsi="Times New Roman"/>
                <w:sz w:val="28"/>
                <w:szCs w:val="28"/>
              </w:rPr>
              <w:t>своение изготовления гнутых объемных поделок из бумаги);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x-none"/>
              </w:rPr>
              <w:t>освоение технологии ребристых поделок из бумаги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x-none"/>
              </w:rPr>
              <w:t>освоение технологии изготовления гофрированных поделок из бумаги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освоение базовых форм оригами;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освоение модульного оригами.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аппликация в технике обрывания;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аппликация силуэтная;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аппликация симметричная;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композиция в аппликации (орнамент);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изготовление блокнота;</w:t>
            </w:r>
          </w:p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i/>
                <w:i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квиллинг (бумагокручение).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10</w:t>
            </w:r>
          </w:p>
        </w:tc>
      </w:tr>
      <w:tr>
        <w:trPr/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 7.3. Текстильные материалы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4/6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3"/>
              </w:numPr>
              <w:tabs>
                <w:tab w:val="clear" w:pos="709"/>
                <w:tab w:val="left" w:pos="24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Работа с тканью.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Производство ткани (ткачество). Нитки, процесс изготовления, основы и утка. Виды переплетений нитей в ткани. Отделка ткани. Технологические свойства. Инструменты и приспособления. Способы обработки ткани. Приемы разметки. Раскрой. Соединение деталей из ткани. Стежки и швы, их характеристика, использование, техника исполнения</w:t>
            </w:r>
          </w:p>
        </w:tc>
        <w:tc>
          <w:tcPr>
            <w:tcW w:w="19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4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3"/>
              </w:numPr>
              <w:tabs>
                <w:tab w:val="clear" w:pos="709"/>
                <w:tab w:val="left" w:pos="24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Ватопись, валяние.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Ватопись. Картины из ваты. Материалы и инструменты. Этапы выполнения работы.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Валяние. Техника сухого валяния. Техника мокрого валяния. Изготовление игрушки.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3"/>
              </w:numPr>
              <w:tabs>
                <w:tab w:val="clear" w:pos="709"/>
                <w:tab w:val="left" w:pos="24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Вышивание, витье, плетение, вязание узлов.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Вышивание в народном декоративно-прикладном творчестве. Использование местных традиций в вышивке. Процесс вышивания. Подготовка рисунка, ткани, дополнительных материалов. Перевод рисунка на ткань. Виды швов в ручной вышивке. Вышивка по рисованному контуру (тамбур, стебельчатый шов). Гладевые швы. Ажурная вышивка. Счетные вышивки (крест и его разновидности). Понятие «витье», «плетение», «вязание узлов». Приемы ручного сучения и плетения. Материалы для витья, плетения, вязания. Вязание основных узлов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3"/>
              </w:numPr>
              <w:tabs>
                <w:tab w:val="clear" w:pos="709"/>
                <w:tab w:val="left" w:pos="241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Изонить.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Движение по углу. Движение по окружности. </w:t>
            </w:r>
          </w:p>
        </w:tc>
        <w:tc>
          <w:tcPr>
            <w:tcW w:w="19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11.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«Практикум по отработке навыков работы с текстильными материалами: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x-none"/>
              </w:rPr>
              <w:t>кройка и шитье изделий из ткани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выполнение швов: </w:t>
            </w:r>
            <w:r>
              <w:rPr>
                <w:rFonts w:ascii="Times New Roman" w:hAnsi="Times New Roman"/>
                <w:sz w:val="28"/>
                <w:szCs w:val="28"/>
                <w:lang w:val="x-none"/>
              </w:rPr>
              <w:t>строчка, подрубочный, петельный, обметочный</w:t>
            </w:r>
            <w:r>
              <w:rPr>
                <w:rFonts w:ascii="Times New Roman" w:hAnsi="Times New Roman"/>
                <w:sz w:val="28"/>
                <w:szCs w:val="28"/>
              </w:rPr>
              <w:t>, тамбурный и др.;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выполнение работ с применением различных приемов</w:t>
            </w:r>
            <w:r>
              <w:rPr>
                <w:rFonts w:ascii="Times New Roman" w:hAnsi="Times New Roman"/>
                <w:sz w:val="28"/>
                <w:szCs w:val="28"/>
                <w:lang w:val="x-none"/>
              </w:rPr>
              <w:t>: продергивание нитей, вышивка, аппликация, роспись, отделка бисером и другими вспомогательными материалами (работа по выбору)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вязание;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пришивание пуговиц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выполнение образцов вышивки;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выполнение вышивки крестиком;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выполнение вышивки гладью;</w:t>
            </w:r>
          </w:p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- выполнение вышивки бисером»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6</w:t>
            </w:r>
          </w:p>
        </w:tc>
      </w:tr>
      <w:tr>
        <w:trPr/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 7.4. Конструирование из пластичных материалов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3/6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4"/>
              </w:numPr>
              <w:tabs>
                <w:tab w:val="clear" w:pos="709"/>
                <w:tab w:val="left" w:pos="256" w:leader="none"/>
              </w:tabs>
              <w:spacing w:lineRule="auto" w:line="276" w:before="0" w:after="200"/>
              <w:ind w:hanging="0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Конструирование и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 пластичных материалов.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Понятия «лепка», «скульптура», «барельеф», «горельеф», «контррельеф». Виды пластичных материалов: пластилин, глина, радужный песок, кинетический песок, масса для лепки, соленое тесто (самодельное), тесто для лепки (покупное). Способы, приемы и виды лепки. Глина, ее подготовка, хранение, приемы обработки. Гончарное ремесло: керамика, изразец, лепная игрушка. Инструменты и оборудование для лепных работ.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6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12.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3" w:name="_GoBack"/>
            <w:r>
              <w:rPr>
                <w:rFonts w:ascii="Times New Roman" w:hAnsi="Times New Roman"/>
                <w:sz w:val="28"/>
                <w:szCs w:val="28"/>
              </w:rPr>
              <w:t>«Практикум по отработке навыков работы с пластичными материалами: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лепка плоских композиций</w:t>
            </w:r>
            <w:bookmarkEnd w:id="3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лепка объемных композиций;</w:t>
            </w:r>
          </w:p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пластиковая живопись»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6</w:t>
            </w:r>
          </w:p>
        </w:tc>
      </w:tr>
      <w:tr>
        <w:trPr/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 7.5. Конструирование из природных и бросовых материалов.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2/5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5"/>
              </w:numPr>
              <w:tabs>
                <w:tab w:val="clear" w:pos="709"/>
                <w:tab w:val="left" w:pos="271" w:leader="none"/>
              </w:tabs>
              <w:spacing w:lineRule="auto" w:line="276"/>
              <w:ind w:firstLine="34" w:left="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Работа с природными материалами.</w:t>
            </w:r>
          </w:p>
          <w:p>
            <w:pPr>
              <w:pStyle w:val="13"/>
              <w:spacing w:before="0" w:after="20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Природные материалы. Разновидность природного сырья, используемого на уроках технологии и во внеклассной работе. Инструменты и приспособления для работы. Сбор и хранение материалов. Способы соединения. Вопросы охраны природы при заготовке природных материалов. Народные промыслы, связанные с обработкой природных материалов. Материалы для работы. Монотипия. Папье-маше – как вид декоративно-прикладного творчества. Основные технологии. 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5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13.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«Практикум по отработке навыков работы с природными и бросовыми материалами: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составление аппликации из природных материалов;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выполнение объемной работы из природных материалов;</w:t>
            </w:r>
          </w:p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выполнение изделий из бросовых материалов»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5</w:t>
            </w:r>
          </w:p>
        </w:tc>
      </w:tr>
      <w:tr>
        <w:trPr/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 7.6. Работа с конструктором.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1/1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6"/>
              </w:numPr>
              <w:tabs>
                <w:tab w:val="clear" w:pos="709"/>
                <w:tab w:val="left" w:pos="256" w:leader="none"/>
              </w:tabs>
              <w:spacing w:lineRule="auto" w:line="276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Работа с </w:t>
            </w: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конструкторами</w:t>
            </w: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>. Виды конструкторов: металлический конструктор, лего, робототехника, магнитный конструктор, деревянный конструктор.</w:t>
            </w:r>
          </w:p>
          <w:p>
            <w:pPr>
              <w:pStyle w:val="13"/>
              <w:numPr>
                <w:ilvl w:val="0"/>
                <w:numId w:val="6"/>
              </w:numPr>
              <w:spacing w:lineRule="auto" w:line="276" w:before="0" w:after="200"/>
              <w:ind w:hanging="357" w:left="72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Робототехника.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14.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«Практикум по отработке навыков работы с конструктором: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x-none" w:eastAsia="x-none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создание постройки из металлического конструктора;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создание постройки из магнитного конструктора;</w:t>
            </w:r>
          </w:p>
          <w:p>
            <w:pPr>
              <w:pStyle w:val="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лего-конструирование;</w:t>
            </w:r>
          </w:p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создание постройки из деревянного конструктора»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Тема 7.7. Работа с информацией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1/1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numPr>
                <w:ilvl w:val="0"/>
                <w:numId w:val="7"/>
              </w:numPr>
              <w:tabs>
                <w:tab w:val="clear" w:pos="709"/>
                <w:tab w:val="left" w:pos="211" w:leader="none"/>
              </w:tabs>
              <w:spacing w:lineRule="auto" w:line="276" w:before="0" w:after="200"/>
              <w:jc w:val="both"/>
              <w:rPr>
                <w:rFonts w:ascii="Times New Roman" w:hAnsi="Times New Roman"/>
                <w:sz w:val="28"/>
                <w:szCs w:val="28"/>
                <w:lang w:val="x-none" w:eastAsia="x-none"/>
              </w:rPr>
            </w:pPr>
            <w:r>
              <w:rPr>
                <w:rFonts w:ascii="Times New Roman" w:hAnsi="Times New Roman"/>
                <w:sz w:val="28"/>
                <w:szCs w:val="28"/>
                <w:lang w:eastAsia="x-none"/>
              </w:rPr>
              <w:t>Работа с информацией.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sz w:val="28"/>
                <w:szCs w:val="28"/>
                <w:lang w:eastAsia="x-non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33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13"/>
              <w:rPr>
                <w:rFonts w:ascii="Times New Roman" w:hAnsi="Times New Roman" w:eastAsia="Calibri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Практическое занятие 15.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eastAsia="Calibri" w:ascii="Times New Roman" w:hAnsi="Times New Roman"/>
                <w:sz w:val="28"/>
                <w:szCs w:val="28"/>
              </w:rPr>
              <w:t>Электронные и медиа-ресурсы в художественно-конструкторской, проектной, предметной преобразующей деятельности. Работа с готовыми цифровыми материалами. Поиск дополнительной информации по тематике</w:t>
            </w:r>
          </w:p>
          <w:p>
            <w:pPr>
              <w:pStyle w:val="13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ascii="Times New Roman" w:hAnsi="Times New Roman"/>
                <w:sz w:val="28"/>
                <w:szCs w:val="28"/>
              </w:rPr>
              <w:t>творческих и проектных работ, использование рисунков из ресурса компьютера в оформлении изделий и др. Создание презентаций в программе PowerPoint»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12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rPr>
                <w:rFonts w:ascii="Times New Roman" w:hAnsi="Times New Roman" w:eastAsia="Calibri"/>
                <w:bCs/>
                <w:i/>
                <w:i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/>
                <w:bCs/>
                <w:sz w:val="28"/>
                <w:szCs w:val="28"/>
              </w:rPr>
              <w:t xml:space="preserve">Учебная практика МДК 01.07 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(при рассредоточенной организации прохождения практики)</w:t>
            </w:r>
          </w:p>
          <w:p>
            <w:pPr>
              <w:pStyle w:val="13"/>
              <w:rPr>
                <w:rFonts w:ascii="Times New Roman" w:hAnsi="Times New Roman" w:eastAsia="Calibr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/>
                <w:bCs/>
                <w:sz w:val="28"/>
                <w:szCs w:val="28"/>
              </w:rPr>
              <w:t>Виды работ</w:t>
            </w:r>
          </w:p>
          <w:p>
            <w:pPr>
              <w:pStyle w:val="13"/>
              <w:rPr>
                <w:rFonts w:ascii="Times New Roman" w:hAnsi="Times New Roman" w:eastAsia="Calibri"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 xml:space="preserve">1. . Изучение федеральной рабочей программы начального общего образования по технологии </w:t>
            </w:r>
          </w:p>
          <w:p>
            <w:pPr>
              <w:pStyle w:val="13"/>
              <w:rPr>
                <w:rFonts w:ascii="Times New Roman" w:hAnsi="Times New Roman" w:eastAsia="Calibri"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>2. Обзор учебников технологии, допущенных к использованию при реализации имеющих государственную аккредитацию образовательных программ начального общего образования организациями, осуществляющими образовательную деятельность.</w:t>
            </w:r>
          </w:p>
          <w:p>
            <w:pPr>
              <w:pStyle w:val="13"/>
              <w:rPr>
                <w:rFonts w:ascii="Times New Roman" w:hAnsi="Times New Roman" w:eastAsia="Calibri"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>3. Обзор электронных (цифровых) образовательных ресурсов по технологии, являющихся учебно-методическими материалами (мультимедийные программы, электронные учебники и задачники, электронные библиотеки, виртуальные лаборатории, игровые программы, коллекции цифровых образовательных ресурсов), используемыми для обучения и воспитания учащихся начальной школы, представленных в электронном (цифровом) виде и реализующим дидактические возможности ИКТ, содержание которых соответствует законодательству об образовании</w:t>
            </w:r>
          </w:p>
          <w:p>
            <w:pPr>
              <w:pStyle w:val="13"/>
              <w:rPr>
                <w:rFonts w:ascii="Times New Roman" w:hAnsi="Times New Roman" w:eastAsia="Calibri"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>4.Наблюдение и анализ уроков технологии.</w:t>
            </w:r>
          </w:p>
          <w:p>
            <w:pPr>
              <w:pStyle w:val="13"/>
              <w:rPr>
                <w:rFonts w:ascii="Times New Roman" w:hAnsi="Times New Roman" w:eastAsia="Calibri"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>5. Проектирование урока технологии по предложенной теме: определение темы, целей и задач урока, выбор учебных заданий, структурирование урока, разработка технологической карты (конспекта, сценария), наглядного и раздаточного материала, дидактических средств обучения в том числе с использованием онлайн-ресурсов.</w:t>
            </w:r>
          </w:p>
          <w:p>
            <w:pPr>
              <w:pStyle w:val="13"/>
              <w:rPr>
                <w:rFonts w:ascii="Times New Roman" w:hAnsi="Times New Roman" w:eastAsia="Calibri"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>6. Разработка учебного исследования.</w:t>
            </w:r>
          </w:p>
          <w:p>
            <w:pPr>
              <w:pStyle w:val="13"/>
              <w:rPr>
                <w:rFonts w:ascii="Times New Roman" w:hAnsi="Times New Roman" w:eastAsia="Calibri"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>7. Разработка мини-проекта.</w:t>
            </w:r>
          </w:p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Cs/>
                <w:sz w:val="28"/>
                <w:szCs w:val="28"/>
              </w:rPr>
              <w:t>8. Разработка учебного проекта.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4,5</w:t>
            </w:r>
          </w:p>
        </w:tc>
      </w:tr>
      <w:tr>
        <w:trPr/>
        <w:tc>
          <w:tcPr>
            <w:tcW w:w="12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tabs>
                <w:tab w:val="clear" w:pos="709"/>
                <w:tab w:val="left" w:pos="708" w:leader="none"/>
              </w:tabs>
              <w:rPr>
                <w:rFonts w:ascii="Times New Roman" w:hAnsi="Times New Roman" w:eastAsia="Calibri"/>
                <w:bCs/>
                <w:i/>
                <w:i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/>
                <w:bCs/>
                <w:sz w:val="28"/>
                <w:szCs w:val="28"/>
              </w:rPr>
              <w:t xml:space="preserve">Производственная практика МДК 01.07 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(при рассредоточенной организации прохождения практики)</w:t>
            </w:r>
          </w:p>
          <w:p>
            <w:pPr>
              <w:pStyle w:val="13"/>
              <w:jc w:val="both"/>
              <w:rPr>
                <w:rFonts w:ascii="Times New Roman" w:hAnsi="Times New Roman" w:eastAsia="Calibri"/>
                <w:b/>
                <w:bCs/>
                <w:sz w:val="28"/>
                <w:szCs w:val="28"/>
              </w:rPr>
            </w:pPr>
            <w:r>
              <w:rPr>
                <w:rFonts w:eastAsia="Calibri" w:ascii="Times New Roman" w:hAnsi="Times New Roman"/>
                <w:b/>
                <w:bCs/>
                <w:sz w:val="28"/>
                <w:szCs w:val="28"/>
              </w:rPr>
              <w:t xml:space="preserve">Виды работ </w:t>
            </w:r>
          </w:p>
          <w:p>
            <w:pPr>
              <w:pStyle w:val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Наблюдение и анализ показательных уроков технологии 1-4 классах</w:t>
            </w:r>
          </w:p>
          <w:p>
            <w:pPr>
              <w:pStyle w:val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и проведение урока технологии по различному содержанию работы на уроке: рационально-логические, эмоционально-художественные, формирующие приемы и навыки практической работы (согласно календарно- тематическому планированию, в котором проходит практика)</w:t>
            </w:r>
          </w:p>
          <w:p>
            <w:pPr>
              <w:pStyle w:val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презентации по педагогической проблеме (отчет, доклад, реферат и др.)</w:t>
            </w:r>
          </w:p>
          <w:p>
            <w:pPr>
              <w:pStyle w:val="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 портфолио педагогических достижений.</w:t>
            </w:r>
          </w:p>
          <w:p>
            <w:pPr>
              <w:pStyle w:val="13"/>
              <w:spacing w:before="0" w:after="20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Разработка исследовательской и проектной работы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3"/>
              <w:spacing w:before="0" w:after="200"/>
              <w:jc w:val="center"/>
              <w:rPr>
                <w:rFonts w:ascii="Times New Roman" w:hAnsi="Times New Roman"/>
                <w:b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51</w:t>
            </w:r>
          </w:p>
        </w:tc>
      </w:tr>
    </w:tbl>
    <w:p>
      <w:pPr>
        <w:sectPr>
          <w:headerReference w:type="default" r:id="rId2"/>
          <w:type w:val="nextPage"/>
          <w:pgSz w:orient="landscape" w:w="16838" w:h="11906"/>
          <w:pgMar w:left="1134" w:right="1134" w:gutter="0" w:header="709" w:top="851" w:footer="0" w:bottom="1701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sectPr>
      <w:headerReference w:type="default" r:id="rId3"/>
      <w:headerReference w:type="first" r:id="rId4"/>
      <w:type w:val="nextPage"/>
      <w:pgSz w:w="11906" w:h="16838"/>
      <w:pgMar w:left="1701" w:right="850" w:gutter="0" w:header="708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Open Sans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2"/>
      <w:isLgl/>
      <w:numFmt w:val="decimal"/>
      <w:lvlText w:val="%1.%2."/>
      <w:lvlJc w:val="left"/>
      <w:pPr>
        <w:tabs>
          <w:tab w:val="num" w:pos="0"/>
        </w:tabs>
        <w:ind w:left="1093" w:hanging="384"/>
      </w:pPr>
      <w:rPr/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778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2127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836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3185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389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4243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4952" w:hanging="180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1134" w:hanging="600"/>
      </w:pPr>
      <w:rPr/>
    </w:lvl>
    <w:lvl w:ilvl="2">
      <w:start w:val="2"/>
      <w:isLgl/>
      <w:numFmt w:val="decimal"/>
      <w:lvlText w:val="%1.%2.%3."/>
      <w:lvlJc w:val="left"/>
      <w:pPr>
        <w:tabs>
          <w:tab w:val="num" w:pos="0"/>
        </w:tabs>
        <w:ind w:left="1428" w:hanging="720"/>
      </w:pPr>
      <w:rPr/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602" w:hanging="72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2136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2310" w:hanging="108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2844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3018" w:hanging="144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3552" w:hanging="180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4d1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2"/>
    <w:uiPriority w:val="1"/>
    <w:qFormat/>
    <w:rsid w:val="00e9719b"/>
    <w:pPr>
      <w:widowControl w:val="false"/>
      <w:suppressAutoHyphens w:val="false"/>
      <w:ind w:left="829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96070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Верхний колонтитул Знак"/>
    <w:basedOn w:val="DefaultParagraphFont"/>
    <w:uiPriority w:val="99"/>
    <w:qFormat/>
    <w:rsid w:val="00a94d17"/>
    <w:rPr/>
  </w:style>
  <w:style w:type="character" w:styleId="Style13" w:customStyle="1">
    <w:name w:val="Текст сноски Знак"/>
    <w:basedOn w:val="DefaultParagraphFont"/>
    <w:uiPriority w:val="99"/>
    <w:qFormat/>
    <w:rsid w:val="00a94d17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Style14" w:customStyle="1">
    <w:name w:val="Символ сноски"/>
    <w:qFormat/>
    <w:rsid w:val="00a94d17"/>
    <w:rPr/>
  </w:style>
  <w:style w:type="character" w:styleId="FootnoteReference">
    <w:name w:val="footnote reference"/>
    <w:rPr>
      <w:rFonts w:cs="Times New Roman"/>
      <w:vertAlign w:val="superscript"/>
    </w:rPr>
  </w:style>
  <w:style w:type="character" w:styleId="Emphasis">
    <w:name w:val="Emphasis"/>
    <w:qFormat/>
    <w:rsid w:val="00a94d17"/>
    <w:rPr>
      <w:rFonts w:ascii="Times New Roman" w:hAnsi="Times New Roman" w:cs="Times New Roman"/>
      <w:i/>
      <w:iCs w:val="false"/>
    </w:rPr>
  </w:style>
  <w:style w:type="character" w:styleId="1" w:customStyle="1">
    <w:name w:val="Верхний колонтитул Знак1"/>
    <w:basedOn w:val="DefaultParagraphFont"/>
    <w:uiPriority w:val="99"/>
    <w:semiHidden/>
    <w:qFormat/>
    <w:rsid w:val="00a94d17"/>
    <w:rPr/>
  </w:style>
  <w:style w:type="character" w:styleId="11" w:customStyle="1">
    <w:name w:val="Текст сноски Знак1"/>
    <w:basedOn w:val="DefaultParagraphFont"/>
    <w:uiPriority w:val="99"/>
    <w:semiHidden/>
    <w:qFormat/>
    <w:rsid w:val="00a94d17"/>
    <w:rPr>
      <w:sz w:val="20"/>
      <w:szCs w:val="20"/>
    </w:rPr>
  </w:style>
  <w:style w:type="character" w:styleId="12" w:customStyle="1">
    <w:name w:val="Заголовок 1 Знак"/>
    <w:basedOn w:val="DefaultParagraphFont"/>
    <w:uiPriority w:val="1"/>
    <w:qFormat/>
    <w:rsid w:val="00e9719b"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Style15" w:customStyle="1">
    <w:name w:val="Основной текст Знак"/>
    <w:basedOn w:val="DefaultParagraphFont"/>
    <w:uiPriority w:val="1"/>
    <w:qFormat/>
    <w:rsid w:val="00e9719b"/>
    <w:rPr>
      <w:rFonts w:ascii="Times New Roman" w:hAnsi="Times New Roman" w:eastAsia="Times New Roman" w:cs="Times New Roman"/>
      <w:sz w:val="28"/>
      <w:szCs w:val="28"/>
    </w:rPr>
  </w:style>
  <w:style w:type="character" w:styleId="Style16" w:customStyle="1">
    <w:name w:val="Название Знак"/>
    <w:basedOn w:val="DefaultParagraphFont"/>
    <w:uiPriority w:val="1"/>
    <w:qFormat/>
    <w:rsid w:val="00156ae1"/>
    <w:rPr>
      <w:rFonts w:ascii="Times New Roman" w:hAnsi="Times New Roman" w:eastAsia="Times New Roman" w:cs="Times New Roman"/>
      <w:b/>
      <w:bCs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096070"/>
    <w:rPr>
      <w:color w:themeColor="hyperlink" w:val="0563C1"/>
      <w:u w:val="single"/>
    </w:rPr>
  </w:style>
  <w:style w:type="character" w:styleId="2" w:customStyle="1">
    <w:name w:val="Заголовок 2 Знак"/>
    <w:basedOn w:val="DefaultParagraphFont"/>
    <w:uiPriority w:val="9"/>
    <w:qFormat/>
    <w:rsid w:val="00096070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character" w:styleId="Style17">
    <w:name w:val="Ссылка указателя"/>
    <w:qFormat/>
    <w:rPr/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link w:val="Style15"/>
    <w:uiPriority w:val="1"/>
    <w:qFormat/>
    <w:rsid w:val="00e9719b"/>
    <w:pPr>
      <w:widowControl w:val="false"/>
      <w:suppressAutoHyphens w:val="false"/>
      <w:ind w:left="121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Droid Sans"/>
    </w:rPr>
  </w:style>
  <w:style w:type="paragraph" w:styleId="13" w:customStyle="1">
    <w:name w:val="Обычный1"/>
    <w:uiPriority w:val="99"/>
    <w:semiHidden/>
    <w:qFormat/>
    <w:rsid w:val="00a94d17"/>
    <w:pPr>
      <w:widowControl/>
      <w:tabs>
        <w:tab w:val="clear" w:pos="708"/>
        <w:tab w:val="left" w:pos="709" w:leader="none"/>
      </w:tabs>
      <w:suppressAutoHyphens w:val="true"/>
      <w:bidi w:val="0"/>
      <w:spacing w:lineRule="atLeast" w:line="276" w:before="0" w:after="200"/>
      <w:jc w:val="left"/>
    </w:pPr>
    <w:rPr>
      <w:rFonts w:eastAsia="Times New Roman" w:cs="Times New Roman" w:ascii="Calibri" w:hAnsi="Calibri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13"/>
    <w:link w:val="Style12"/>
    <w:uiPriority w:val="99"/>
    <w:unhideWhenUsed/>
    <w:rsid w:val="00a94d17"/>
    <w:pPr>
      <w:tabs>
        <w:tab w:val="clear" w:pos="709"/>
        <w:tab w:val="center" w:pos="4677" w:leader="none"/>
        <w:tab w:val="right" w:pos="9355" w:leader="none"/>
      </w:tabs>
    </w:pPr>
    <w:rPr>
      <w:rFonts w:eastAsia="Calibri" w:cs="" w:cstheme="minorBidi" w:eastAsiaTheme="minorHAnsi"/>
      <w:lang w:eastAsia="en-US"/>
    </w:rPr>
  </w:style>
  <w:style w:type="paragraph" w:styleId="FootnoteText">
    <w:name w:val="footnote text"/>
    <w:basedOn w:val="13"/>
    <w:link w:val="Style13"/>
    <w:uiPriority w:val="99"/>
    <w:qFormat/>
    <w:rsid w:val="00a94d17"/>
    <w:pPr/>
    <w:rPr>
      <w:rFonts w:ascii="Times New Roman" w:hAnsi="Times New Roman"/>
      <w:sz w:val="20"/>
      <w:szCs w:val="20"/>
      <w:lang w:val="x-none" w:eastAsia="x-none"/>
    </w:rPr>
  </w:style>
  <w:style w:type="paragraph" w:styleId="TableParagraph" w:customStyle="1">
    <w:name w:val="Table Paragraph"/>
    <w:basedOn w:val="Normal"/>
    <w:uiPriority w:val="1"/>
    <w:qFormat/>
    <w:rsid w:val="00e9719b"/>
    <w:pPr>
      <w:widowControl w:val="false"/>
      <w:suppressAutoHyphens w:val="false"/>
    </w:pPr>
    <w:rPr>
      <w:rFonts w:ascii="Times New Roman" w:hAnsi="Times New Roman" w:eastAsia="Times New Roman" w:cs="Times New Roman"/>
    </w:rPr>
  </w:style>
  <w:style w:type="paragraph" w:styleId="TOC1">
    <w:name w:val="toc 1"/>
    <w:basedOn w:val="Normal"/>
    <w:uiPriority w:val="39"/>
    <w:qFormat/>
    <w:rsid w:val="00156ae1"/>
    <w:pPr>
      <w:widowControl w:val="false"/>
      <w:suppressAutoHyphens w:val="false"/>
      <w:spacing w:before="89" w:after="0"/>
      <w:ind w:hanging="282" w:left="402"/>
    </w:pPr>
    <w:rPr>
      <w:rFonts w:ascii="Times New Roman" w:hAnsi="Times New Roman" w:eastAsia="Times New Roman" w:cs="Times New Roman"/>
      <w:sz w:val="28"/>
      <w:szCs w:val="28"/>
    </w:rPr>
  </w:style>
  <w:style w:type="paragraph" w:styleId="Title">
    <w:name w:val="Title"/>
    <w:basedOn w:val="Normal"/>
    <w:link w:val="Style16"/>
    <w:uiPriority w:val="1"/>
    <w:qFormat/>
    <w:rsid w:val="00156ae1"/>
    <w:pPr>
      <w:widowControl w:val="false"/>
      <w:suppressAutoHyphens w:val="false"/>
      <w:spacing w:before="1" w:after="0"/>
      <w:ind w:firstLine="307" w:left="354" w:right="353"/>
    </w:pPr>
    <w:rPr>
      <w:rFonts w:ascii="Times New Roman" w:hAnsi="Times New Roman" w:eastAsia="Times New Roman" w:cs="Times New Roman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rsid w:val="00156ae1"/>
    <w:pPr>
      <w:widowControl w:val="false"/>
      <w:suppressAutoHyphens w:val="false"/>
      <w:ind w:firstLine="708" w:left="121"/>
      <w:jc w:val="both"/>
    </w:pPr>
    <w:rPr>
      <w:rFonts w:ascii="Times New Roman" w:hAnsi="Times New Roman" w:eastAsia="Times New Roman" w:cs="Times New Roman"/>
    </w:rPr>
  </w:style>
  <w:style w:type="paragraph" w:styleId="IndexHeading">
    <w:name w:val="index heading"/>
    <w:basedOn w:val="Style18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7c4c8b"/>
    <w:pPr>
      <w:keepNext w:val="true"/>
      <w:keepLines/>
      <w:widowControl/>
      <w:spacing w:lineRule="auto" w:line="259" w:before="240" w:after="0"/>
      <w:ind w:left="0"/>
      <w:outlineLvl w:val="9"/>
    </w:pPr>
    <w:rPr>
      <w:rFonts w:ascii="Calibri Light" w:hAnsi="Calibri Light" w:eastAsia="" w:cs="" w:asciiTheme="majorHAnsi" w:cstheme="majorBidi" w:eastAsiaTheme="majorEastAsia" w:hAnsiTheme="majorHAnsi"/>
      <w:b w:val="false"/>
      <w:bCs w:val="false"/>
      <w:color w:themeColor="accent1" w:themeShade="bf" w:val="2E74B5"/>
      <w:sz w:val="32"/>
      <w:szCs w:val="32"/>
      <w:lang w:eastAsia="ru-RU"/>
    </w:rPr>
  </w:style>
  <w:style w:type="paragraph" w:styleId="TOC2">
    <w:name w:val="toc 2"/>
    <w:basedOn w:val="Normal"/>
    <w:next w:val="Normal"/>
    <w:autoRedefine/>
    <w:uiPriority w:val="39"/>
    <w:unhideWhenUsed/>
    <w:rsid w:val="007c4c8b"/>
    <w:pPr>
      <w:spacing w:before="0" w:after="100"/>
      <w:ind w:left="220"/>
    </w:pPr>
    <w:rPr/>
  </w:style>
  <w:style w:type="paragraph" w:styleId="Style20">
    <w:name w:val="Верхний колонтитул слева"/>
    <w:basedOn w:val="Header"/>
    <w:qFormat/>
    <w:pPr/>
    <w:rPr/>
  </w:style>
  <w:style w:type="numbering" w:styleId="Style21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9719b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">
    <w:name w:val="Table Grid"/>
    <w:basedOn w:val="a1"/>
    <w:uiPriority w:val="39"/>
    <w:rsid w:val="003c63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FD8A1-1050-42D3-85D2-33B60B40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LibreOffice/24.8.4.1$Linux_X86_64 LibreOffice_project/480$Build-1</Application>
  <AppVersion>15.0000</AppVersion>
  <Pages>16</Pages>
  <Words>1623</Words>
  <Characters>12023</Characters>
  <CharactersWithSpaces>13449</CharactersWithSpaces>
  <Paragraphs>222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2024-12-15T09:34:00Z</dcterms:created>
  <dc:creator>Учетная запись Майкрософт</dc:creator>
  <dc:description/>
  <dc:language>ru-RU</dc:language>
  <cp:lastModifiedBy/>
  <dcterms:modified xsi:type="dcterms:W3CDTF">2025-10-06T14:43:21Z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